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eastAsia="zh-CN"/>
        </w:rPr>
        <w:t>附件</w:t>
      </w:r>
    </w:p>
    <w:p>
      <w:pPr>
        <w:wordWrap w:val="0"/>
        <w:adjustRightInd w:val="0"/>
        <w:snapToGrid w:val="0"/>
        <w:spacing w:line="580" w:lineRule="exact"/>
        <w:jc w:val="center"/>
        <w:rPr>
          <w:rFonts w:ascii="Times New Roman" w:hAnsi="Times New Roman" w:eastAsia="方正小标宋_GBK" w:cs="Times New Roman"/>
          <w:snapToGrid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lang w:eastAsia="zh-CN" w:bidi="ar"/>
        </w:rPr>
        <w:t>202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lang w:val="en-US" w:eastAsia="zh-CN" w:bidi="ar"/>
        </w:rPr>
        <w:t>6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lang w:eastAsia="zh-CN" w:bidi="ar"/>
        </w:rPr>
        <w:t>年</w:t>
      </w:r>
      <w:r>
        <w:rPr>
          <w:rFonts w:ascii="Times New Roman" w:hAnsi="Times New Roman" w:eastAsia="方正小标宋_GBK" w:cs="Times New Roman"/>
          <w:snapToGrid w:val="0"/>
          <w:sz w:val="44"/>
          <w:szCs w:val="44"/>
          <w:lang w:bidi="ar"/>
        </w:rPr>
        <w:t>度清华成都高质量发展合作专项</w:t>
      </w:r>
    </w:p>
    <w:p>
      <w:pPr>
        <w:wordWrap w:val="0"/>
        <w:adjustRightInd w:val="0"/>
        <w:snapToGrid w:val="0"/>
        <w:spacing w:line="580" w:lineRule="exact"/>
        <w:jc w:val="center"/>
        <w:rPr>
          <w:rFonts w:ascii="Times New Roman" w:hAnsi="Times New Roman" w:eastAsia="方正小标宋_GBK" w:cs="Times New Roman"/>
          <w:snapToGrid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lang w:eastAsia="zh-CN" w:bidi="ar"/>
        </w:rPr>
        <w:t>（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lang w:val="en-US" w:eastAsia="zh-CN" w:bidi="ar"/>
        </w:rPr>
        <w:t>产业咨询项目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lang w:eastAsia="zh-CN" w:bidi="ar"/>
        </w:rPr>
        <w:t>）</w:t>
      </w:r>
      <w:r>
        <w:rPr>
          <w:rFonts w:ascii="Times New Roman" w:hAnsi="Times New Roman" w:eastAsia="方正小标宋_GBK" w:cs="Times New Roman"/>
          <w:snapToGrid w:val="0"/>
          <w:sz w:val="44"/>
          <w:szCs w:val="44"/>
          <w:lang w:bidi="ar"/>
        </w:rPr>
        <w:t>申报指南</w:t>
      </w:r>
    </w:p>
    <w:p>
      <w:pPr>
        <w:wordWrap/>
        <w:spacing w:line="240" w:lineRule="auto"/>
        <w:ind w:firstLine="0" w:firstLineChars="0"/>
        <w:rPr>
          <w:rFonts w:asciiTheme="minorHAnsi" w:hAnsiTheme="minorHAnsi" w:eastAsiaTheme="minorEastAsia" w:cstheme="minorBidi"/>
          <w:snapToGrid/>
          <w:sz w:val="21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清华成都高质量发展合作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专项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产业咨询项目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将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成都市人民政府 清华大学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进一步深化市校合作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推动建设顶尖智库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的协议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》要求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围绕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成都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产业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建圈强链中的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科学性、技术性难题进行深入研究，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遴选清华大学校内院士专家团队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开展系统性、前瞻性、战略性咨询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申报工作自即日起启动，有关事项如下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lang w:eastAsia="zh-CN"/>
        </w:rPr>
        <w:t>项目</w:t>
      </w: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  <w:t>内容及要求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本次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产业咨询项目包含8个咨询选题方向（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选题详见表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1）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咨询项目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承接团队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应坚持目标导向、问题导向，立足成都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产业链的堵点、难点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深入成都产业园区开展研究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以闭门座谈、决策报告等形式向成都市委市政府提出决策建议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表1 院士专家服务成都产业咨询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要点</w:t>
      </w:r>
    </w:p>
    <w:tbl>
      <w:tblPr>
        <w:tblStyle w:val="9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646"/>
        <w:gridCol w:w="7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选题</w:t>
            </w:r>
          </w:p>
        </w:tc>
        <w:tc>
          <w:tcPr>
            <w:tcW w:w="7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集成电路产业创新咨询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（信息光电子方向）</w:t>
            </w:r>
          </w:p>
        </w:tc>
        <w:tc>
          <w:tcPr>
            <w:tcW w:w="7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①梳理成都集成电路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信息光电子方向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产业发展现状分析在芯片设计、光电子器件、封装测试等环节的优势与短板，重点摸清产业链关键卡点与缺失环节;②对比全球信息光电子技术路线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硅基光电子、薄膜铌酸锂、Ш-V族半导体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立足成都高校院所与企业技术储备，结合国内主要城市群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、深圳、杭州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产业布局，提出成都在光通信器件、光计算芯片等领域的竞争优势与差异化定位;③结合清华在信息光电子的技术积累，聚焦硅基光电子集成、光计算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模拟/数字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、高速光通信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800G/1.6T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、光电探测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单光子/激光雷达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四大前沿方向，定制成都产业链可转化的技术成果清单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软件和信息服务产业创新咨询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（工业软件方向）</w:t>
            </w:r>
          </w:p>
        </w:tc>
        <w:tc>
          <w:tcPr>
            <w:tcW w:w="7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①梳理成都软件产业，特别是工业软件（如研发设计类、生产控制类、经营管理类）的发展现状、企业梯队、产品竞争力及“卡脖子”环节；②立足推动工业软件与智能制造深度融合，提出工业软件和工业数据管理在成都数字化工厂、智能车间、柔性生产中的应用场景拓展，以及与工业机器人、智能装备、工业互联网平台的协同联动的路径；③结合工业数据集建设，在工业数据确权、定价、价值挖掘等方面给予技术支持和指导，推动工业数据资源高效流动与价值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人工智能产业创新咨询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（“人工智能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”方向）</w:t>
            </w:r>
          </w:p>
        </w:tc>
        <w:tc>
          <w:tcPr>
            <w:tcW w:w="7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①调研成都市人工智能产业发展的现状，分析人工智能与各产业融合过程中在技术适配、场景落地等方面的主要难点；②聚焦AI+制造、AI+汽车、AI+医疗、AI+交通、AI+政务、AI+金融等重点方向，梳理成都AI算力、算法框架、数据资源、企业主体、应用场景基础，制定场景清单与技术需求；③结合团队的研究成果，针对成都企业面临的芯片硬件CUDA生态不兼容、量子-经典融合算力协同架构缺失、 Token计量定价难等问题，提供技术指导和咨询服务。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智能网联汽车产业创新咨询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（智能驾驶方向）</w:t>
            </w:r>
          </w:p>
        </w:tc>
        <w:tc>
          <w:tcPr>
            <w:tcW w:w="7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①梳理成都人工智能、车规级芯片、车载感知、算法平台、路侧设施、测试示范区等基础条件，系统评估成都人工智能产业基础与智能网联汽车产业（尤其是智能驾驶方向）的融合现状;②基于当前L3/L4智能驾驶示范应用等发展趋势，为成都借助“车路云一体化”试点建设实现智能网联汽车产业链跨越发展提出可行的建议;③发挥清华大学的技术优势，为成都争取落地车路协同（V2X）、车云协同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高精度地图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与定位等关键支撑技术提供支撑。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新能源汽车产业创新咨询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（整车制造和动力电池方向）</w:t>
            </w:r>
          </w:p>
        </w:tc>
        <w:tc>
          <w:tcPr>
            <w:tcW w:w="7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①研判国内新能源整车、动力电池产业趋势，对标先进地区集群培育、供应配套、技术迭代经验，分析成都整车制造、新能源转型、动力电池等产业面临的竞争格局;②结合成都已有的产业基础，以及主流动力电池的技术路线（高镍三元、磷酸锰铁锂、固态电池、钠离子电池等），寻找仍有产业机会的重点方向，针对性提出发展建议；③围绕正极、负极、隔膜、电解液、铜箔、结构件、回收利用等环节，提出成都动力电池产业强链补链延链方向，指导成都动力电池产业从安全、寿命、快充、低温性能、能量密度等方面开展技术攻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绿色低碳产业创新咨询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（减排降碳方向）</w:t>
            </w:r>
          </w:p>
        </w:tc>
        <w:tc>
          <w:tcPr>
            <w:tcW w:w="7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①梳理成都重点产业链（如集成电路、智能网联汽车、新型材料等）在循环经济、清洁生产等方面技术的应用情况与制约因素；②立足各个产业链的排碳特点，梳理成都降碳减排相关的服务和生产企业，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对比其他城市的经验做法，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提出当前成都应重点补齐的绿色低碳产业链环节；③聚焦节能降碳技术、循环利用、低碳材料、绿电应用、碳捕集利用（CCUS），梳理成都可落地技术清单与应用场景。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先进能源产业创新咨询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（绿氢制备方向）</w:t>
            </w:r>
          </w:p>
        </w:tc>
        <w:tc>
          <w:tcPr>
            <w:tcW w:w="7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①结合当前国内外氢能产业发展趋势（如绿氢规模化、氢能跨领域应用），分析成都发展氢能产业的核心优势（资源禀赋、产业基础、区位优势、政策环境）与短板，明确项目立项的核心定位；②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梳理其他城市发展，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研究当前绿氢制备和氢能应用中面临的技术难点，综合分析绿氢制备技术路线竞争状况，提出成都应该关注的产业环节和重点企业；③分析城市及周边氢能市场需求（工业、交通、能源等领域）的规模、增长潜力，判断项目的市场竞争力，提出针对性发展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生物医药产业创新咨询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（制药方向）</w:t>
            </w:r>
          </w:p>
        </w:tc>
        <w:tc>
          <w:tcPr>
            <w:tcW w:w="74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①梳理成都在创新药研发、高端制剂、智能制造等方面的产业基础及核心竞争力，识别化学药、中成药、生物药、制剂等制药细分领域存在的短板与瓶颈；②对标国内生物医药领先园区（如上海张江、苏州BioBay），总结在微化工连续制造、绿色制药、高端制剂等领域的技术突破和产业培育经验，研判未来技术趋势；③结合微化工、连续化制造、绿色制药、智能制药等前沿技术，提出成都制药产业技术升级与工艺革新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在符合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项目选题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大方向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的前提下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，可结合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院士专家的优势领域和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实际工作需求，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可对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咨询要点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作适当调整。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  <w:t>二、组织方式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本次项目由成都市人民政府研究室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会同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清华大学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智库中心组织开展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，围绕项目申报、过程推进、成果转化、结项验收开展全流程管理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。项目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资金由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成都市市级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财政专项安排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申请本次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应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满足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以下条件：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（一）项目负责人原则上应为清华大学在校工作的中国科学院、中国工程院院士或其他国家（地区）同等水平的院士，对于暂无相关院士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申报的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领域，可根据实际需要，由该领域内具备丰富科研成果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战略咨询经验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获得过国家级科技奖励的领军专家担任。项目负责人应有足够的时间、精力和专业能力从事项目的组织实施及研究工作；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（二）项目负责人具有良好的科研道德和社会诚信，未被列入联合惩戒名单或“黑名单”，三年内无不良信用记录或重大违法行为；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（三）项目单位为清华大学，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依托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单位为清华大学智库中心。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  <w:t>四、完成时限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原则上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应在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度内完成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，具体以签订合同为准。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  <w:t>五、成果要求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>每个咨询项目，主要完成以下任务：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（一）形成1份咨询报告（应包含产业链发展创新图谱、技术攻关清单）；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（二）向市委市政府提交1份产业发展建议；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）到产业链链主企业或重点企业开展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至少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一次现场指导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（四）赴蓉参加“清华大学赋能成都产业建圈强链院士专家圆桌会”。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>研究成果需通过如下形式之一完成转化：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）带动相关科技成果在成都转化落地；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）与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在蓉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产业链企业合作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重要技术攻关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）研究建议支撑有关产业政策或规划制定，由行业主管部门出具证明；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）研究成果报送市委市政府领导参阅；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  <w:t>六、申报程序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auto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auto"/>
          <w:sz w:val="32"/>
          <w:szCs w:val="32"/>
          <w:lang w:eastAsia="zh-CN"/>
        </w:rPr>
        <w:t>项目</w:t>
      </w: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auto"/>
          <w:sz w:val="32"/>
          <w:szCs w:val="32"/>
        </w:rPr>
        <w:t>申报。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符合申报条件的研究团队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填写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清华成都高质量发展合作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专项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产业咨询项目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申请书》（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详见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附件）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并加盖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院系/单位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公章，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盖章版扫描件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发送至清华大学智库中心邮箱（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instrText xml:space="preserve"> HYPERLINK "mailto:zkzx-xsb@mail.tsinghua.edu.cn" \o "zkzx-xsb@mail.tsinghua.edu.cn" </w:instrTex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zkzx-xsb@mail.tsinghua.edu.cn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盖章版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纸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质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件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一式三份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送至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北京市海淀区清华大学明理楼427（收件人：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陈彦金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；联系电话：010-62793695）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，由智库中心统一汇总后报送至成都市人民政府研究室。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auto"/>
          <w:sz w:val="32"/>
          <w:szCs w:val="32"/>
        </w:rPr>
        <w:t>（二）申报审核。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成都市人民政府研究室组织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相关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专家进行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申报评审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评审内容主要包括申报项目的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方案、研究基础、团队组成和经费预算等。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auto"/>
          <w:sz w:val="32"/>
          <w:szCs w:val="32"/>
        </w:rPr>
        <w:t>（三）结果确认。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每个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项目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申报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评审结果，由清华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大学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相关网站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进行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公示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公示期不少于5日</w:t>
      </w:r>
      <w:r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。公示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期结束后，各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承接团队须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清华大学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名义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与成都市人民政府研究室签订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项目委托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  <w:t>七、申报时间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申报开始时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间为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日，提交申请书的截止时间为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:00（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以邮戳时间或邮件发送时间为准）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</w:rPr>
        <w:t>八、注意事项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（一）申报人须仔细阅读申报指南各项要求，并按申报指南要求按时提交申报材料。因材料缺失或不符合要求、错过申报时间节点等原因，导致未成功申报的责任由申报人自行承担。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（二）申报人应如实填写申报材料，对申报材料的真实性、合法性、有效性负责，自行承担包括知识产权纠纷在内的潜在风险。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  <w:t>（三）凡弄虚作假者，不符合申报条件或违规申报情形的，一经发现并核实后，申请不予受理，已受理的实行强制终止。发现存在科技违规、科研失信等行为的，依据国家、省、市相关规定办理。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（四）每个清华大学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院士专家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作为项目负责人最多只能申报一个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咨询选题方向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highlight w:val="none"/>
        </w:rPr>
        <w:t>九、联系方式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）清华大学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eastAsia="zh-CN"/>
        </w:rPr>
        <w:t>智库中心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，联系人：陈彦金，联系电话：010-62793695。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）成都市人民政府研究室，联系人：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val="en-US" w:eastAsia="zh-CN"/>
        </w:rPr>
        <w:t>王一晨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，联系电话：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  <w:lang w:val="en-US" w:eastAsia="zh-CN"/>
        </w:rPr>
        <w:t xml:space="preserve">028-61884933 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078" w:leftChars="304" w:hanging="1440" w:hangingChars="450"/>
        <w:textAlignment w:val="auto"/>
        <w:rPr>
          <w:rFonts w:ascii="Times New Roman" w:hAnsi="Times New Roman" w:eastAsia="方正仿宋_GBK" w:cs="Times New Roman"/>
          <w:snapToGrid w:val="0"/>
          <w:spacing w:val="-17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31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1-1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napToGrid w:val="0"/>
          <w:spacing w:val="-17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napToGrid w:val="0"/>
          <w:spacing w:val="-17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napToGrid w:val="0"/>
          <w:spacing w:val="-17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napToGrid w:val="0"/>
          <w:spacing w:val="-17"/>
          <w:sz w:val="32"/>
          <w:szCs w:val="32"/>
        </w:rPr>
        <w:t>度</w:t>
      </w:r>
      <w:r>
        <w:rPr>
          <w:rFonts w:ascii="Times New Roman" w:hAnsi="Times New Roman" w:eastAsia="方正仿宋_GBK" w:cs="Times New Roman"/>
          <w:snapToGrid w:val="0"/>
          <w:spacing w:val="-17"/>
          <w:sz w:val="32"/>
          <w:szCs w:val="32"/>
        </w:rPr>
        <w:t>清华成都高质量发展合作</w:t>
      </w:r>
      <w:r>
        <w:rPr>
          <w:rFonts w:hint="eastAsia" w:ascii="Times New Roman" w:hAnsi="Times New Roman" w:eastAsia="方正仿宋_GBK" w:cs="Times New Roman"/>
          <w:snapToGrid w:val="0"/>
          <w:spacing w:val="-17"/>
          <w:sz w:val="32"/>
          <w:szCs w:val="32"/>
        </w:rPr>
        <w:t>专项</w:t>
      </w:r>
      <w:r>
        <w:rPr>
          <w:rFonts w:hint="eastAsia" w:ascii="Times New Roman" w:hAnsi="Times New Roman" w:eastAsia="方正仿宋_GBK" w:cs="Times New Roman"/>
          <w:snapToGrid w:val="0"/>
          <w:spacing w:val="-17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 w:val="0"/>
          <w:spacing w:val="-17"/>
          <w:sz w:val="32"/>
          <w:szCs w:val="32"/>
          <w:lang w:val="en-US" w:eastAsia="zh-CN"/>
        </w:rPr>
        <w:t>产业咨询项目）</w:t>
      </w:r>
      <w:r>
        <w:rPr>
          <w:rFonts w:ascii="Times New Roman" w:hAnsi="Times New Roman" w:eastAsia="方正仿宋_GBK" w:cs="Times New Roman"/>
          <w:snapToGrid w:val="0"/>
          <w:spacing w:val="-17"/>
          <w:sz w:val="32"/>
          <w:szCs w:val="32"/>
        </w:rPr>
        <w:t>申请书</w:t>
      </w:r>
    </w:p>
    <w:p>
      <w:pPr>
        <w:wordWrap w:val="0"/>
        <w:spacing w:line="580" w:lineRule="exact"/>
        <w:ind w:firstLine="0" w:firstLineChars="0"/>
        <w:rPr>
          <w:rFonts w:hint="default" w:ascii="Times New Roman" w:hAnsi="Times New Roman" w:eastAsia="方正黑体_GBK" w:cs="Times New Roman Regular"/>
          <w:snapToGrid w:val="0"/>
          <w:color w:val="auto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黑体_GBK" w:cs="Times New Roman Regular"/>
          <w:snapToGrid w:val="0"/>
          <w:color w:val="auto"/>
          <w:sz w:val="36"/>
          <w:szCs w:val="36"/>
          <w:lang w:bidi="ar"/>
        </w:rPr>
        <w:t>附件</w:t>
      </w:r>
      <w:r>
        <w:rPr>
          <w:rFonts w:hint="eastAsia" w:ascii="Times New Roman" w:hAnsi="Times New Roman" w:eastAsia="方正黑体_GBK" w:cs="Times New Roman Regular"/>
          <w:snapToGrid w:val="0"/>
          <w:color w:val="auto"/>
          <w:sz w:val="36"/>
          <w:szCs w:val="36"/>
          <w:lang w:val="en-US" w:eastAsia="zh-CN" w:bidi="ar"/>
        </w:rPr>
        <w:t>1-1</w:t>
      </w:r>
    </w:p>
    <w:p>
      <w:pPr>
        <w:pStyle w:val="3"/>
        <w:rPr>
          <w:rFonts w:hint="default" w:ascii="Times New Roman Regular" w:hAnsi="Times New Roman Regular" w:eastAsia="方正黑体_GBK" w:cs="Times New Roman Regular"/>
          <w:snapToGrid w:val="0"/>
          <w:color w:val="auto"/>
          <w:sz w:val="32"/>
          <w:szCs w:val="32"/>
          <w:lang w:bidi="ar"/>
        </w:rPr>
      </w:pPr>
    </w:p>
    <w:p>
      <w:pPr>
        <w:pStyle w:val="4"/>
        <w:rPr>
          <w:rFonts w:hint="default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640" w:type="dxa"/>
          </w:tcPr>
          <w:p>
            <w:pPr>
              <w:wordWrap w:val="0"/>
              <w:spacing w:line="600" w:lineRule="exact"/>
              <w:jc w:val="distribute"/>
              <w:rPr>
                <w:rFonts w:hint="eastAsia" w:ascii="Times New Roman" w:hAnsi="Times New Roman" w:eastAsia="方正小标宋_GBK" w:cs="Times New Roman"/>
                <w:snapToGrid w:val="0"/>
                <w:spacing w:val="-23"/>
                <w:kern w:val="0"/>
                <w:sz w:val="48"/>
                <w:szCs w:val="48"/>
                <w:lang w:bidi="ar"/>
              </w:rPr>
            </w:pPr>
            <w:r>
              <w:rPr>
                <w:rFonts w:ascii="Times New Roman" w:hAnsi="Times New Roman" w:eastAsia="方正小标宋_GBK" w:cs="Times New Roman"/>
                <w:snapToGrid w:val="0"/>
                <w:spacing w:val="-23"/>
                <w:kern w:val="0"/>
                <w:sz w:val="48"/>
                <w:szCs w:val="48"/>
                <w:lang w:bidi="ar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snapToGrid w:val="0"/>
                <w:spacing w:val="-23"/>
                <w:kern w:val="0"/>
                <w:sz w:val="48"/>
                <w:szCs w:val="48"/>
                <w:lang w:val="en-US" w:eastAsia="zh-CN" w:bidi="ar"/>
              </w:rPr>
              <w:t>6</w:t>
            </w:r>
            <w:r>
              <w:rPr>
                <w:rFonts w:ascii="Times New Roman" w:hAnsi="Times New Roman" w:eastAsia="方正小标宋_GBK" w:cs="Times New Roman"/>
                <w:snapToGrid w:val="0"/>
                <w:spacing w:val="-23"/>
                <w:kern w:val="0"/>
                <w:sz w:val="48"/>
                <w:szCs w:val="48"/>
                <w:lang w:bidi="ar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snapToGrid w:val="0"/>
                <w:spacing w:val="-23"/>
                <w:kern w:val="0"/>
                <w:sz w:val="48"/>
                <w:szCs w:val="48"/>
                <w:lang w:bidi="ar"/>
              </w:rPr>
              <w:t>度</w:t>
            </w:r>
            <w:r>
              <w:rPr>
                <w:rFonts w:ascii="Times New Roman" w:hAnsi="Times New Roman" w:eastAsia="方正小标宋_GBK" w:cs="Times New Roman"/>
                <w:snapToGrid w:val="0"/>
                <w:spacing w:val="-23"/>
                <w:kern w:val="0"/>
                <w:sz w:val="48"/>
                <w:szCs w:val="48"/>
                <w:lang w:bidi="ar"/>
              </w:rPr>
              <w:t>清华成都高质量发展合作</w:t>
            </w:r>
            <w:r>
              <w:rPr>
                <w:rFonts w:hint="eastAsia" w:ascii="Times New Roman" w:hAnsi="Times New Roman" w:eastAsia="方正小标宋_GBK" w:cs="Times New Roman"/>
                <w:snapToGrid w:val="0"/>
                <w:spacing w:val="-23"/>
                <w:kern w:val="0"/>
                <w:sz w:val="48"/>
                <w:szCs w:val="48"/>
                <w:lang w:bidi="ar"/>
              </w:rPr>
              <w:t>专项</w:t>
            </w:r>
          </w:p>
          <w:p>
            <w:pPr>
              <w:wordWrap w:val="0"/>
              <w:spacing w:line="600" w:lineRule="exact"/>
              <w:jc w:val="center"/>
              <w:rPr>
                <w:rFonts w:ascii="Times New Roman" w:hAnsi="Times New Roman" w:eastAsia="黑体" w:cs="Times New Roman"/>
                <w:snapToGrid w:val="0"/>
                <w:sz w:val="48"/>
                <w:szCs w:val="48"/>
              </w:rPr>
            </w:pPr>
            <w:r>
              <w:rPr>
                <w:rFonts w:hint="eastAsia" w:ascii="Times New Roman" w:hAnsi="Times New Roman" w:eastAsia="方正小标宋_GBK" w:cs="Times New Roman"/>
                <w:snapToGrid w:val="0"/>
                <w:spacing w:val="-23"/>
                <w:kern w:val="0"/>
                <w:sz w:val="48"/>
                <w:szCs w:val="4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_GBK" w:cs="Times New Roman"/>
                <w:snapToGrid w:val="0"/>
                <w:spacing w:val="-23"/>
                <w:kern w:val="0"/>
                <w:sz w:val="48"/>
                <w:szCs w:val="48"/>
                <w:lang w:val="en-US" w:eastAsia="zh-CN" w:bidi="ar"/>
              </w:rPr>
              <w:t>产业咨询项目</w:t>
            </w:r>
            <w:r>
              <w:rPr>
                <w:rFonts w:hint="eastAsia" w:ascii="Times New Roman" w:hAnsi="Times New Roman" w:eastAsia="方正小标宋_GBK" w:cs="Times New Roman"/>
                <w:snapToGrid w:val="0"/>
                <w:spacing w:val="-23"/>
                <w:kern w:val="0"/>
                <w:sz w:val="48"/>
                <w:szCs w:val="48"/>
                <w:lang w:eastAsia="zh-CN" w:bidi="ar"/>
              </w:rPr>
              <w:t>）</w:t>
            </w:r>
          </w:p>
        </w:tc>
      </w:tr>
    </w:tbl>
    <w:p>
      <w:pPr>
        <w:wordWrap w:val="0"/>
        <w:spacing w:line="760" w:lineRule="exact"/>
        <w:ind w:firstLine="560" w:firstLineChars="200"/>
        <w:jc w:val="center"/>
        <w:rPr>
          <w:rFonts w:ascii="Times New Roman" w:hAnsi="Times New Roman" w:eastAsia="黑体" w:cs="Times New Roman"/>
          <w:snapToGrid w:val="0"/>
          <w:sz w:val="28"/>
          <w:szCs w:val="28"/>
        </w:rPr>
      </w:pPr>
    </w:p>
    <w:p>
      <w:pPr>
        <w:wordWrap w:val="0"/>
        <w:spacing w:line="760" w:lineRule="exact"/>
        <w:jc w:val="center"/>
        <w:rPr>
          <w:rFonts w:ascii="Times New Roman" w:hAnsi="Times New Roman" w:eastAsia="方正小标宋_GBK" w:cs="Times New Roman"/>
          <w:b/>
          <w:snapToGrid w:val="0"/>
          <w:sz w:val="72"/>
          <w:szCs w:val="72"/>
        </w:rPr>
      </w:pPr>
      <w:r>
        <w:rPr>
          <w:rFonts w:ascii="Times New Roman" w:hAnsi="Times New Roman" w:eastAsia="方正小标宋_GBK" w:cs="Times New Roman"/>
          <w:b/>
          <w:snapToGrid w:val="0"/>
          <w:sz w:val="72"/>
          <w:szCs w:val="72"/>
        </w:rPr>
        <w:t>申 请 书</w:t>
      </w:r>
    </w:p>
    <w:p>
      <w:pPr>
        <w:wordWrap w:val="0"/>
        <w:spacing w:line="600" w:lineRule="exact"/>
        <w:ind w:firstLine="560" w:firstLineChars="200"/>
        <w:jc w:val="center"/>
        <w:rPr>
          <w:rFonts w:ascii="Times New Roman" w:hAnsi="Times New Roman" w:eastAsia="黑体" w:cs="Times New Roman"/>
          <w:snapToGrid w:val="0"/>
          <w:sz w:val="28"/>
          <w:szCs w:val="28"/>
        </w:rPr>
      </w:pPr>
    </w:p>
    <w:p>
      <w:pPr>
        <w:wordWrap w:val="0"/>
        <w:spacing w:line="600" w:lineRule="exact"/>
        <w:ind w:firstLine="560" w:firstLineChars="200"/>
        <w:jc w:val="center"/>
        <w:rPr>
          <w:rFonts w:ascii="Times New Roman" w:hAnsi="Times New Roman" w:eastAsia="黑体" w:cs="Times New Roman"/>
          <w:snapToGrid w:val="0"/>
          <w:sz w:val="28"/>
          <w:szCs w:val="28"/>
        </w:rPr>
      </w:pPr>
    </w:p>
    <w:p>
      <w:pPr>
        <w:wordWrap w:val="0"/>
        <w:spacing w:line="600" w:lineRule="exact"/>
        <w:ind w:firstLine="560" w:firstLineChars="200"/>
        <w:jc w:val="center"/>
        <w:rPr>
          <w:rFonts w:ascii="Times New Roman" w:hAnsi="Times New Roman" w:eastAsia="黑体" w:cs="Times New Roman"/>
          <w:snapToGrid w:val="0"/>
          <w:sz w:val="28"/>
          <w:szCs w:val="28"/>
        </w:rPr>
      </w:pPr>
    </w:p>
    <w:p>
      <w:pPr>
        <w:wordWrap w:val="0"/>
        <w:spacing w:line="600" w:lineRule="exact"/>
        <w:ind w:firstLine="560" w:firstLineChars="200"/>
        <w:jc w:val="center"/>
        <w:rPr>
          <w:rFonts w:ascii="Times New Roman" w:hAnsi="Times New Roman" w:eastAsia="黑体" w:cs="Times New Roman"/>
          <w:snapToGrid w:val="0"/>
          <w:sz w:val="28"/>
          <w:szCs w:val="28"/>
        </w:rPr>
      </w:pPr>
    </w:p>
    <w:tbl>
      <w:tblPr>
        <w:tblStyle w:val="9"/>
        <w:tblW w:w="9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6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wordWrap w:val="0"/>
              <w:spacing w:line="600" w:lineRule="exact"/>
              <w:jc w:val="distribute"/>
              <w:textAlignment w:val="baseline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  <w:lang w:eastAsia="zh-CN"/>
              </w:rPr>
              <w:t>项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  <w:lang w:eastAsia="zh-CN"/>
              </w:rPr>
              <w:t>目</w:t>
            </w: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 xml:space="preserve"> 名 称</w:t>
            </w:r>
          </w:p>
        </w:tc>
        <w:tc>
          <w:tcPr>
            <w:tcW w:w="360" w:type="dxa"/>
            <w:vAlign w:val="bottom"/>
          </w:tcPr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>
            <w:pPr>
              <w:wordWrap w:val="0"/>
              <w:spacing w:line="600" w:lineRule="exact"/>
              <w:ind w:firstLine="560" w:firstLineChars="200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wordWrap w:val="0"/>
              <w:spacing w:line="600" w:lineRule="exact"/>
              <w:ind w:firstLine="560" w:firstLineChars="200"/>
              <w:jc w:val="distribute"/>
              <w:textAlignment w:val="baseline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负责人</w:t>
            </w:r>
          </w:p>
        </w:tc>
        <w:tc>
          <w:tcPr>
            <w:tcW w:w="360" w:type="dxa"/>
            <w:vAlign w:val="bottom"/>
          </w:tcPr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>
            <w:pPr>
              <w:wordWrap w:val="0"/>
              <w:spacing w:line="600" w:lineRule="exact"/>
              <w:ind w:firstLine="560" w:firstLineChars="200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wordWrap w:val="0"/>
              <w:spacing w:line="600" w:lineRule="exact"/>
              <w:ind w:firstLine="560" w:firstLineChars="200"/>
              <w:jc w:val="distribute"/>
              <w:textAlignment w:val="baseline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申请单位</w:t>
            </w:r>
          </w:p>
        </w:tc>
        <w:tc>
          <w:tcPr>
            <w:tcW w:w="360" w:type="dxa"/>
            <w:vAlign w:val="bottom"/>
          </w:tcPr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pacing w:line="600" w:lineRule="exact"/>
              <w:ind w:firstLine="560" w:firstLineChars="200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wordWrap w:val="0"/>
              <w:spacing w:line="600" w:lineRule="exact"/>
              <w:ind w:firstLine="560" w:firstLineChars="200"/>
              <w:jc w:val="distribute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vAlign w:val="bottom"/>
          </w:tcPr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pacing w:line="600" w:lineRule="exact"/>
              <w:ind w:firstLine="560" w:firstLineChars="200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</w:p>
        </w:tc>
      </w:tr>
    </w:tbl>
    <w:p>
      <w:pPr>
        <w:wordWrap w:val="0"/>
        <w:spacing w:line="600" w:lineRule="exact"/>
        <w:ind w:firstLine="560" w:firstLineChars="200"/>
        <w:jc w:val="center"/>
        <w:rPr>
          <w:rFonts w:ascii="Times New Roman" w:hAnsi="Times New Roman" w:eastAsia="方正黑体_GBK" w:cs="Times New Roman"/>
          <w:snapToGrid w:val="0"/>
          <w:sz w:val="28"/>
          <w:szCs w:val="28"/>
        </w:rPr>
      </w:pPr>
    </w:p>
    <w:p>
      <w:pPr>
        <w:wordWrap w:val="0"/>
        <w:spacing w:line="600" w:lineRule="exact"/>
        <w:ind w:firstLine="560" w:firstLineChars="200"/>
        <w:jc w:val="center"/>
        <w:rPr>
          <w:rFonts w:ascii="Times New Roman" w:hAnsi="Times New Roman" w:eastAsia="方正黑体_GBK" w:cs="Times New Roman"/>
          <w:snapToGrid w:val="0"/>
          <w:sz w:val="28"/>
          <w:szCs w:val="28"/>
        </w:rPr>
      </w:pPr>
    </w:p>
    <w:p>
      <w:pPr>
        <w:wordWrap w:val="0"/>
        <w:spacing w:line="600" w:lineRule="exact"/>
        <w:ind w:firstLine="560" w:firstLineChars="200"/>
        <w:jc w:val="center"/>
        <w:rPr>
          <w:rFonts w:ascii="Times New Roman" w:hAnsi="Times New Roman" w:eastAsia="方正黑体_GBK" w:cs="Times New Roman"/>
          <w:snapToGrid w:val="0"/>
          <w:sz w:val="28"/>
          <w:szCs w:val="28"/>
        </w:rPr>
      </w:pPr>
    </w:p>
    <w:p>
      <w:pPr>
        <w:wordWrap w:val="0"/>
        <w:spacing w:line="560" w:lineRule="exact"/>
        <w:ind w:firstLine="560" w:firstLineChars="200"/>
        <w:jc w:val="center"/>
        <w:rPr>
          <w:rFonts w:ascii="Times New Roman" w:hAnsi="Times New Roman" w:eastAsia="方正黑体_GBK" w:cs="Times New Roman"/>
          <w:snapToGrid w:val="0"/>
          <w:sz w:val="28"/>
          <w:szCs w:val="28"/>
        </w:rPr>
      </w:pPr>
      <w:r>
        <w:rPr>
          <w:rFonts w:ascii="Times New Roman" w:hAnsi="Times New Roman" w:eastAsia="方正黑体_GBK" w:cs="Times New Roman"/>
          <w:snapToGrid w:val="0"/>
          <w:sz w:val="28"/>
          <w:szCs w:val="28"/>
        </w:rPr>
        <w:t>成都市人民政府研究室</w:t>
      </w:r>
    </w:p>
    <w:p>
      <w:pPr>
        <w:wordWrap w:val="0"/>
        <w:spacing w:line="560" w:lineRule="exact"/>
        <w:ind w:firstLine="560" w:firstLineChars="200"/>
        <w:jc w:val="center"/>
        <w:rPr>
          <w:rFonts w:ascii="Times New Roman" w:hAnsi="Times New Roman" w:eastAsia="方正黑体_GBK" w:cs="Times New Roman"/>
          <w:snapToGrid w:val="0"/>
          <w:sz w:val="44"/>
          <w:szCs w:val="44"/>
        </w:rPr>
      </w:pPr>
      <w:r>
        <w:rPr>
          <w:rFonts w:ascii="Times New Roman" w:hAnsi="Times New Roman" w:eastAsia="方正黑体_GBK" w:cs="Times New Roman"/>
          <w:snapToGrid w:val="0"/>
          <w:sz w:val="28"/>
          <w:szCs w:val="28"/>
        </w:rPr>
        <w:t>202</w:t>
      </w:r>
      <w:r>
        <w:rPr>
          <w:rFonts w:hint="eastAsia" w:ascii="Times New Roman" w:hAnsi="Times New Roman" w:eastAsia="方正黑体_GBK" w:cs="Times New Roman"/>
          <w:snapToGrid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黑体_GBK" w:cs="Times New Roman"/>
          <w:snapToGrid w:val="0"/>
          <w:sz w:val="28"/>
          <w:szCs w:val="28"/>
        </w:rPr>
        <w:t>年制</w:t>
      </w:r>
    </w:p>
    <w:p>
      <w:pPr>
        <w:wordWrap w:val="0"/>
        <w:spacing w:after="62" w:afterLines="20" w:line="600" w:lineRule="exact"/>
        <w:ind w:firstLine="720" w:firstLineChars="200"/>
        <w:rPr>
          <w:rFonts w:ascii="Times New Roman" w:hAnsi="Times New Roman" w:eastAsia="仿宋_GB2312" w:cs="Times New Roman"/>
          <w:snapToGrid w:val="0"/>
          <w:sz w:val="28"/>
          <w:szCs w:val="44"/>
        </w:rPr>
      </w:pPr>
      <w:r>
        <w:rPr>
          <w:rFonts w:ascii="Times New Roman" w:hAnsi="Times New Roman" w:eastAsia="楷体_GB2312" w:cs="Times New Roman"/>
          <w:snapToGrid w:val="0"/>
          <w:sz w:val="36"/>
          <w:szCs w:val="44"/>
        </w:rPr>
        <w:br w:type="page"/>
      </w:r>
      <w:r>
        <w:rPr>
          <w:rFonts w:ascii="Times New Roman" w:hAnsi="Times New Roman" w:eastAsia="仿宋_GB2312" w:cs="Times New Roman"/>
          <w:snapToGrid w:val="0"/>
          <w:sz w:val="28"/>
          <w:szCs w:val="44"/>
        </w:rPr>
        <w:t xml:space="preserve"> </w:t>
      </w:r>
    </w:p>
    <w:p>
      <w:pPr>
        <w:wordWrap w:val="0"/>
        <w:spacing w:line="560" w:lineRule="exact"/>
        <w:jc w:val="center"/>
        <w:rPr>
          <w:rFonts w:ascii="Times New Roman" w:hAnsi="Times New Roman" w:eastAsia="黑体" w:cs="Times New Roman"/>
          <w:snapToGrid w:val="0"/>
          <w:sz w:val="32"/>
          <w:szCs w:val="44"/>
        </w:rPr>
      </w:pPr>
      <w:r>
        <w:rPr>
          <w:rFonts w:ascii="Times New Roman" w:hAnsi="Times New Roman" w:eastAsia="黑体" w:cs="Times New Roman"/>
          <w:snapToGrid w:val="0"/>
          <w:sz w:val="32"/>
          <w:szCs w:val="44"/>
        </w:rPr>
        <w:t>填写说明</w:t>
      </w:r>
    </w:p>
    <w:p>
      <w:pPr>
        <w:wordWrap w:val="0"/>
        <w:spacing w:line="560" w:lineRule="exact"/>
        <w:ind w:firstLine="640" w:firstLineChars="200"/>
        <w:jc w:val="center"/>
        <w:rPr>
          <w:rFonts w:ascii="Times New Roman" w:hAnsi="Times New Roman" w:eastAsia="黑体" w:cs="Times New Roman"/>
          <w:snapToGrid w:val="0"/>
          <w:sz w:val="32"/>
          <w:szCs w:val="44"/>
        </w:rPr>
      </w:pPr>
    </w:p>
    <w:p>
      <w:pPr>
        <w:wordWrap w:val="0"/>
        <w:spacing w:line="560" w:lineRule="exact"/>
        <w:ind w:firstLine="560" w:firstLineChars="200"/>
        <w:rPr>
          <w:rFonts w:hint="eastAsia" w:ascii="Times New Roman" w:hAnsi="Times New Roman" w:eastAsia="方正仿宋_GBK" w:cs="方正仿宋_GBK"/>
          <w:snapToGrid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napToGrid w:val="0"/>
          <w:sz w:val="28"/>
          <w:szCs w:val="28"/>
        </w:rPr>
        <w:t>一、申请书内各项内容应填写完整、实事求是、表述明确。表格内容字体为四号仿宋，行距28磅。如各栏空格不够，均可加页。</w:t>
      </w:r>
    </w:p>
    <w:p>
      <w:pPr>
        <w:wordWrap w:val="0"/>
        <w:spacing w:line="560" w:lineRule="exact"/>
        <w:ind w:firstLine="560" w:firstLineChars="200"/>
        <w:rPr>
          <w:rFonts w:hint="eastAsia" w:ascii="Times New Roman" w:hAnsi="Times New Roman" w:eastAsia="方正仿宋_GBK" w:cs="方正仿宋_GBK"/>
          <w:snapToGrid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napToGrid w:val="0"/>
          <w:sz w:val="28"/>
          <w:szCs w:val="28"/>
        </w:rPr>
        <w:t>二、申请书为A4纸，于左侧装订成册。一式一份加盖公章。电子版以“题目—负责人—申请单位”格式命名。</w:t>
      </w:r>
    </w:p>
    <w:p>
      <w:pPr>
        <w:wordWrap w:val="0"/>
        <w:spacing w:line="560" w:lineRule="exact"/>
        <w:ind w:firstLine="560" w:firstLineChars="200"/>
        <w:rPr>
          <w:rFonts w:hint="eastAsia" w:ascii="Times New Roman" w:hAnsi="Times New Roman" w:eastAsia="方正仿宋_GBK" w:cs="方正仿宋_GBK"/>
          <w:snapToGrid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napToGrid w:val="0"/>
          <w:sz w:val="28"/>
          <w:szCs w:val="28"/>
        </w:rPr>
        <w:t>三、申请单位填写完成后，按要求提交。</w:t>
      </w:r>
    </w:p>
    <w:p>
      <w:pPr>
        <w:spacing w:line="560" w:lineRule="exact"/>
        <w:ind w:firstLine="856"/>
        <w:rPr>
          <w:rFonts w:ascii="Times New Roman"/>
          <w:spacing w:val="-6"/>
        </w:rPr>
        <w:sectPr>
          <w:pgSz w:w="11906" w:h="16838"/>
          <w:pgMar w:top="2098" w:right="1474" w:bottom="1984" w:left="1587" w:header="851" w:footer="1134" w:gutter="0"/>
          <w:pgNumType w:fmt="decimal"/>
          <w:cols w:space="720" w:num="1"/>
          <w:docGrid w:type="lines" w:linePitch="312" w:charSpace="0"/>
        </w:sectPr>
      </w:pP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黑体" w:cs="Times New Roman"/>
          <w:snapToGrid w:val="0"/>
          <w:sz w:val="32"/>
          <w:szCs w:val="44"/>
        </w:rPr>
      </w:pPr>
      <w:r>
        <w:rPr>
          <w:rFonts w:ascii="Times New Roman" w:hAnsi="Times New Roman" w:eastAsia="黑体" w:cs="Times New Roman"/>
          <w:snapToGrid w:val="0"/>
          <w:sz w:val="32"/>
          <w:szCs w:val="44"/>
        </w:rPr>
        <w:t>一、基本信息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705"/>
        <w:gridCol w:w="1133"/>
        <w:gridCol w:w="988"/>
        <w:gridCol w:w="1414"/>
        <w:gridCol w:w="947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wordWrap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  <w:lang w:val="en-US" w:eastAsia="zh-CN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  <w:lang w:val="en-US" w:eastAsia="zh-CN"/>
              </w:rPr>
              <w:t>题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  <w:lang w:val="en-US" w:eastAsia="zh-CN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  <w:lang w:val="en-US" w:eastAsia="zh-CN"/>
              </w:rPr>
              <w:t>向</w:t>
            </w:r>
          </w:p>
        </w:tc>
        <w:tc>
          <w:tcPr>
            <w:tcW w:w="6010" w:type="dxa"/>
            <w:gridSpan w:val="5"/>
            <w:vAlign w:val="center"/>
          </w:tcPr>
          <w:p>
            <w:pPr>
              <w:wordWrap w:val="0"/>
              <w:adjustRightInd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wordWrap w:val="0"/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>申请</w:t>
            </w:r>
          </w:p>
          <w:p>
            <w:pPr>
              <w:wordWrap w:val="0"/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>单位</w:t>
            </w:r>
          </w:p>
        </w:tc>
        <w:tc>
          <w:tcPr>
            <w:tcW w:w="1705" w:type="dxa"/>
            <w:vAlign w:val="center"/>
          </w:tcPr>
          <w:p>
            <w:pPr>
              <w:wordWrap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>
            <w:pPr>
              <w:wordWrap w:val="0"/>
              <w:adjustRightInd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widowControl/>
              <w:wordWrap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  <w:tc>
          <w:tcPr>
            <w:tcW w:w="1705" w:type="dxa"/>
            <w:vAlign w:val="center"/>
          </w:tcPr>
          <w:p>
            <w:pPr>
              <w:wordWrap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>负责人</w:t>
            </w:r>
          </w:p>
        </w:tc>
        <w:tc>
          <w:tcPr>
            <w:tcW w:w="1133" w:type="dxa"/>
            <w:vAlign w:val="center"/>
          </w:tcPr>
          <w:p>
            <w:pPr>
              <w:wordWrap w:val="0"/>
              <w:adjustRightInd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  <w:tc>
          <w:tcPr>
            <w:tcW w:w="988" w:type="dxa"/>
            <w:vAlign w:val="center"/>
          </w:tcPr>
          <w:p>
            <w:pPr>
              <w:wordWrap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>电话</w:t>
            </w:r>
          </w:p>
        </w:tc>
        <w:tc>
          <w:tcPr>
            <w:tcW w:w="1414" w:type="dxa"/>
            <w:vAlign w:val="center"/>
          </w:tcPr>
          <w:p>
            <w:pPr>
              <w:wordWrap w:val="0"/>
              <w:adjustRightInd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  <w:tc>
          <w:tcPr>
            <w:tcW w:w="947" w:type="dxa"/>
            <w:vAlign w:val="center"/>
          </w:tcPr>
          <w:p>
            <w:pPr>
              <w:wordWrap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>手机</w:t>
            </w:r>
          </w:p>
        </w:tc>
        <w:tc>
          <w:tcPr>
            <w:tcW w:w="1528" w:type="dxa"/>
            <w:vAlign w:val="center"/>
          </w:tcPr>
          <w:p>
            <w:pPr>
              <w:wordWrap w:val="0"/>
              <w:adjustRightInd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widowControl/>
              <w:wordWrap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  <w:tc>
          <w:tcPr>
            <w:tcW w:w="1705" w:type="dxa"/>
            <w:vAlign w:val="center"/>
          </w:tcPr>
          <w:p>
            <w:pPr>
              <w:wordWrap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>联系人</w:t>
            </w:r>
          </w:p>
        </w:tc>
        <w:tc>
          <w:tcPr>
            <w:tcW w:w="1133" w:type="dxa"/>
            <w:vAlign w:val="center"/>
          </w:tcPr>
          <w:p>
            <w:pPr>
              <w:wordWrap w:val="0"/>
              <w:adjustRightInd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  <w:tc>
          <w:tcPr>
            <w:tcW w:w="988" w:type="dxa"/>
            <w:vAlign w:val="center"/>
          </w:tcPr>
          <w:p>
            <w:pPr>
              <w:wordWrap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>电话</w:t>
            </w:r>
          </w:p>
        </w:tc>
        <w:tc>
          <w:tcPr>
            <w:tcW w:w="1414" w:type="dxa"/>
            <w:vAlign w:val="center"/>
          </w:tcPr>
          <w:p>
            <w:pPr>
              <w:wordWrap w:val="0"/>
              <w:adjustRightInd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  <w:tc>
          <w:tcPr>
            <w:tcW w:w="947" w:type="dxa"/>
            <w:vAlign w:val="center"/>
          </w:tcPr>
          <w:p>
            <w:pPr>
              <w:wordWrap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>手机</w:t>
            </w:r>
          </w:p>
        </w:tc>
        <w:tc>
          <w:tcPr>
            <w:tcW w:w="1528" w:type="dxa"/>
            <w:vAlign w:val="center"/>
          </w:tcPr>
          <w:p>
            <w:pPr>
              <w:wordWrap w:val="0"/>
              <w:adjustRightInd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widowControl/>
              <w:wordWrap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  <w:tc>
          <w:tcPr>
            <w:tcW w:w="1705" w:type="dxa"/>
            <w:vAlign w:val="center"/>
          </w:tcPr>
          <w:p>
            <w:pPr>
              <w:wordWrap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>电子邮箱</w:t>
            </w:r>
          </w:p>
        </w:tc>
        <w:tc>
          <w:tcPr>
            <w:tcW w:w="6010" w:type="dxa"/>
            <w:gridSpan w:val="5"/>
            <w:vAlign w:val="center"/>
          </w:tcPr>
          <w:p>
            <w:pPr>
              <w:wordWrap w:val="0"/>
              <w:adjustRightInd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2" w:hRule="atLeast"/>
          <w:jc w:val="center"/>
        </w:trPr>
        <w:tc>
          <w:tcPr>
            <w:tcW w:w="8528" w:type="dxa"/>
            <w:gridSpan w:val="7"/>
            <w:vAlign w:val="center"/>
          </w:tcPr>
          <w:p>
            <w:pPr>
              <w:wordWrap w:val="0"/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</w:p>
          <w:p>
            <w:pPr>
              <w:wordWrap w:val="0"/>
              <w:adjustRightInd w:val="0"/>
              <w:spacing w:line="400" w:lineRule="exact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>申请单位意见：</w:t>
            </w:r>
          </w:p>
          <w:p>
            <w:pPr>
              <w:wordWrap w:val="0"/>
              <w:adjustRightInd w:val="0"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44"/>
              </w:rPr>
            </w:pPr>
          </w:p>
          <w:p>
            <w:pPr>
              <w:wordWrap w:val="0"/>
              <w:adjustRightInd w:val="0"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44"/>
              </w:rPr>
            </w:pPr>
          </w:p>
          <w:p>
            <w:pPr>
              <w:wordWrap w:val="0"/>
              <w:adjustRightInd w:val="0"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44"/>
              </w:rPr>
            </w:pPr>
          </w:p>
          <w:p>
            <w:pPr>
              <w:wordWrap w:val="0"/>
              <w:adjustRightInd w:val="0"/>
              <w:spacing w:line="600" w:lineRule="exact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44"/>
              </w:rPr>
            </w:pPr>
          </w:p>
          <w:p>
            <w:pPr>
              <w:wordWrap w:val="0"/>
              <w:spacing w:line="600" w:lineRule="exact"/>
              <w:ind w:firstLine="620" w:firstLineChars="200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sz w:val="31"/>
                <w:szCs w:val="31"/>
              </w:rPr>
            </w:pPr>
          </w:p>
          <w:p>
            <w:pPr>
              <w:wordWrap w:val="0"/>
              <w:adjustRightInd w:val="0"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44"/>
              </w:rPr>
            </w:pPr>
          </w:p>
          <w:p>
            <w:pPr>
              <w:wordWrap w:val="0"/>
              <w:spacing w:line="600" w:lineRule="exact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31"/>
              </w:rPr>
            </w:pPr>
          </w:p>
          <w:p>
            <w:pPr>
              <w:wordWrap w:val="0"/>
              <w:spacing w:line="6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44"/>
              </w:rPr>
            </w:pPr>
          </w:p>
          <w:p>
            <w:pPr>
              <w:wordWrap w:val="0"/>
              <w:spacing w:line="6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44"/>
              </w:rPr>
            </w:pPr>
          </w:p>
          <w:p>
            <w:pPr>
              <w:wordWrap w:val="0"/>
              <w:spacing w:line="6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44"/>
              </w:rPr>
            </w:pPr>
          </w:p>
          <w:p>
            <w:pPr>
              <w:wordWrap w:val="0"/>
              <w:spacing w:line="6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44"/>
              </w:rPr>
            </w:pPr>
          </w:p>
          <w:p>
            <w:pPr>
              <w:wordWrap w:val="0"/>
              <w:adjustRightInd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 xml:space="preserve">         单位负责人（签章）：         （单位公章）</w:t>
            </w:r>
          </w:p>
          <w:p>
            <w:pPr>
              <w:tabs>
                <w:tab w:val="left" w:pos="7062"/>
              </w:tabs>
              <w:wordWrap w:val="0"/>
              <w:adjustRightInd w:val="0"/>
              <w:spacing w:line="4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</w:rPr>
              <w:t xml:space="preserve">                                         年   月   日  </w:t>
            </w:r>
          </w:p>
          <w:p>
            <w:pPr>
              <w:wordWrap w:val="0"/>
              <w:spacing w:line="600" w:lineRule="exact"/>
              <w:ind w:firstLine="620" w:firstLineChars="200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sz w:val="31"/>
                <w:szCs w:val="31"/>
                <w:lang w:eastAsia="en-US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/>
        <w:rPr>
          <w:rFonts w:eastAsia="黑体"/>
          <w:sz w:val="32"/>
        </w:rPr>
        <w:sectPr>
          <w:footerReference r:id="rId5" w:type="default"/>
          <w:pgSz w:w="11906" w:h="16838"/>
          <w:pgMar w:top="2098" w:right="1474" w:bottom="1984" w:left="1587" w:header="851" w:footer="1134" w:gutter="0"/>
          <w:pgNumType w:fmt="decimal"/>
          <w:cols w:space="720" w:num="1"/>
          <w:docGrid w:type="lines" w:linePitch="312" w:charSpace="0"/>
        </w:sectPr>
      </w:pP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黑体" w:cs="Times New Roman"/>
          <w:snapToGrid w:val="0"/>
          <w:sz w:val="32"/>
          <w:szCs w:val="44"/>
        </w:rPr>
      </w:pPr>
      <w:r>
        <w:rPr>
          <w:rFonts w:ascii="Times New Roman" w:hAnsi="Times New Roman" w:eastAsia="黑体" w:cs="Times New Roman"/>
          <w:snapToGrid w:val="0"/>
          <w:sz w:val="32"/>
          <w:szCs w:val="44"/>
        </w:rPr>
        <w:t>二、</w:t>
      </w:r>
      <w:r>
        <w:rPr>
          <w:rFonts w:hint="eastAsia" w:ascii="Times New Roman" w:hAnsi="Times New Roman" w:eastAsia="黑体" w:cs="Times New Roman"/>
          <w:snapToGrid w:val="0"/>
          <w:sz w:val="32"/>
          <w:szCs w:val="44"/>
          <w:lang w:eastAsia="zh-CN"/>
        </w:rPr>
        <w:t>项目</w:t>
      </w:r>
      <w:r>
        <w:rPr>
          <w:rFonts w:ascii="Times New Roman" w:hAnsi="Times New Roman" w:eastAsia="黑体" w:cs="Times New Roman"/>
          <w:snapToGrid w:val="0"/>
          <w:sz w:val="32"/>
          <w:szCs w:val="44"/>
        </w:rPr>
        <w:t>方案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7" w:hRule="atLeast"/>
          <w:jc w:val="center"/>
        </w:trPr>
        <w:tc>
          <w:tcPr>
            <w:tcW w:w="8160" w:type="dxa"/>
          </w:tcPr>
          <w:p>
            <w:pPr>
              <w:wordWrap w:val="0"/>
              <w:spacing w:line="5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1"/>
              </w:rPr>
              <w:t>请参照以下提纲撰写，要求逻辑清晰、格式规范。包括但不限于以下内容：</w:t>
            </w:r>
          </w:p>
          <w:p>
            <w:pPr>
              <w:wordWrap w:val="0"/>
              <w:spacing w:line="5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  <w:t>（一）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  <w:t>背景</w:t>
            </w:r>
          </w:p>
          <w:p>
            <w:pPr>
              <w:wordWrap w:val="0"/>
              <w:spacing w:line="5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  <w:t>（二）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  <w:t>内容</w:t>
            </w:r>
          </w:p>
          <w:p>
            <w:pPr>
              <w:wordWrap w:val="0"/>
              <w:spacing w:line="5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  <w:t>（三）拟解决的关键问题</w:t>
            </w:r>
          </w:p>
          <w:p>
            <w:pPr>
              <w:wordWrap w:val="0"/>
              <w:spacing w:line="5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  <w:t>（四）创新点</w:t>
            </w:r>
          </w:p>
          <w:p>
            <w:pPr>
              <w:wordWrap w:val="0"/>
              <w:spacing w:line="5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  <w:t>（五）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  <w:t>进度及阶段性目标</w:t>
            </w:r>
          </w:p>
          <w:p>
            <w:pPr>
              <w:wordWrap w:val="0"/>
              <w:spacing w:line="5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  <w:t>（六）预期成果及应用价值</w:t>
            </w:r>
          </w:p>
          <w:p>
            <w:pPr>
              <w:wordWrap w:val="0"/>
              <w:spacing w:line="5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napToGrid w:val="0"/>
                <w:sz w:val="32"/>
                <w:szCs w:val="4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4"/>
                <w:highlight w:val="none"/>
              </w:rPr>
              <w:t>（七）参考文献</w:t>
            </w:r>
          </w:p>
          <w:p>
            <w:pPr>
              <w:wordWrap w:val="0"/>
              <w:spacing w:line="60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44"/>
                <w:highlight w:val="yellow"/>
              </w:rPr>
            </w:pPr>
          </w:p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sz w:val="28"/>
                <w:szCs w:val="44"/>
              </w:rPr>
            </w:pPr>
          </w:p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sz w:val="28"/>
                <w:szCs w:val="44"/>
              </w:rPr>
            </w:pPr>
          </w:p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sz w:val="28"/>
                <w:szCs w:val="44"/>
              </w:rPr>
            </w:pPr>
          </w:p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sz w:val="28"/>
                <w:szCs w:val="44"/>
              </w:rPr>
            </w:pPr>
          </w:p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sz w:val="28"/>
                <w:szCs w:val="44"/>
              </w:rPr>
            </w:pPr>
          </w:p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sz w:val="28"/>
                <w:szCs w:val="44"/>
              </w:rPr>
            </w:pPr>
          </w:p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sz w:val="28"/>
                <w:szCs w:val="44"/>
              </w:rPr>
            </w:pPr>
          </w:p>
          <w:p>
            <w:pPr>
              <w:wordWrap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sz w:val="28"/>
                <w:szCs w:val="44"/>
              </w:rPr>
            </w:pPr>
          </w:p>
        </w:tc>
      </w:tr>
    </w:tbl>
    <w:p>
      <w:pPr>
        <w:spacing w:line="560" w:lineRule="exact"/>
        <w:rPr>
          <w:rFonts w:eastAsia="楷体"/>
          <w:szCs w:val="21"/>
        </w:rPr>
        <w:sectPr>
          <w:pgSz w:w="11906" w:h="16838"/>
          <w:pgMar w:top="2098" w:right="1474" w:bottom="1984" w:left="1587" w:header="851" w:footer="850" w:gutter="0"/>
          <w:pgNumType w:fmt="decimal"/>
          <w:cols w:space="720" w:num="1"/>
          <w:docGrid w:type="lines" w:linePitch="312" w:charSpace="0"/>
        </w:sectPr>
      </w:pP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黑体" w:cs="Times New Roman"/>
          <w:snapToGrid w:val="0"/>
          <w:sz w:val="32"/>
          <w:szCs w:val="44"/>
        </w:rPr>
      </w:pPr>
      <w:r>
        <w:rPr>
          <w:rFonts w:ascii="Times New Roman" w:hAnsi="Times New Roman" w:eastAsia="黑体" w:cs="Times New Roman"/>
          <w:snapToGrid w:val="0"/>
          <w:sz w:val="32"/>
          <w:szCs w:val="44"/>
        </w:rPr>
        <w:t>三、</w:t>
      </w:r>
      <w:r>
        <w:rPr>
          <w:rFonts w:hint="eastAsia" w:ascii="Times New Roman" w:hAnsi="Times New Roman" w:eastAsia="黑体" w:cs="Times New Roman"/>
          <w:snapToGrid w:val="0"/>
          <w:sz w:val="32"/>
          <w:szCs w:val="44"/>
          <w:lang w:eastAsia="zh-CN"/>
        </w:rPr>
        <w:t>项目</w:t>
      </w:r>
      <w:r>
        <w:rPr>
          <w:rFonts w:ascii="Times New Roman" w:hAnsi="Times New Roman" w:eastAsia="黑体" w:cs="Times New Roman"/>
          <w:snapToGrid w:val="0"/>
          <w:sz w:val="32"/>
          <w:szCs w:val="44"/>
        </w:rPr>
        <w:t>基础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4" w:hRule="atLeast"/>
          <w:jc w:val="center"/>
        </w:trPr>
        <w:tc>
          <w:tcPr>
            <w:tcW w:w="8340" w:type="dxa"/>
          </w:tcPr>
          <w:p>
            <w:pPr>
              <w:wordWrap w:val="0"/>
              <w:spacing w:line="5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1"/>
              </w:rPr>
              <w:t>要求填写内容真实准确，有针对性，与本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1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1"/>
              </w:rPr>
              <w:t>无关的研究成果不作为研究基础填写。</w:t>
            </w:r>
          </w:p>
          <w:p>
            <w:pPr>
              <w:wordWrap w:val="0"/>
              <w:adjustRightInd w:val="0"/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sz w:val="28"/>
                <w:szCs w:val="44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ind w:left="672" w:leftChars="320"/>
        <w:jc w:val="left"/>
        <w:rPr>
          <w:rFonts w:eastAsia="仿宋_GB2312"/>
          <w:szCs w:val="21"/>
        </w:rPr>
        <w:sectPr>
          <w:pgSz w:w="11906" w:h="16838"/>
          <w:pgMar w:top="2098" w:right="1474" w:bottom="1984" w:left="1587" w:header="851" w:footer="850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margin" w:tblpXSpec="center" w:tblpY="61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98"/>
        <w:gridCol w:w="1544"/>
        <w:gridCol w:w="1686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wordWrap w:val="0"/>
              <w:adjustRightInd w:val="0"/>
              <w:spacing w:before="156" w:beforeLines="50" w:after="156" w:afterLines="50" w:line="360" w:lineRule="auto"/>
              <w:jc w:val="left"/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8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  <w:vAlign w:val="center"/>
          </w:tcPr>
          <w:p>
            <w:pPr>
              <w:wordWrap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  <w:t>姓  名</w:t>
            </w:r>
          </w:p>
        </w:tc>
        <w:tc>
          <w:tcPr>
            <w:tcW w:w="1498" w:type="dxa"/>
            <w:vAlign w:val="center"/>
          </w:tcPr>
          <w:p>
            <w:pPr>
              <w:wordWrap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>
            <w:pPr>
              <w:wordWrap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>
            <w:pPr>
              <w:wordWrap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vAlign w:val="center"/>
          </w:tcPr>
          <w:p>
            <w:pPr>
              <w:wordWrap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before="156" w:beforeLines="50" w:after="156" w:afterLines="50" w:line="560" w:lineRule="exact"/>
              <w:jc w:val="left"/>
              <w:rPr>
                <w:rFonts w:ascii="Times New Roman" w:hAnsi="Times New Roman" w:eastAsia="黑体" w:cs="Times New Roman"/>
                <w:snapToGrid w:val="0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8"/>
                <w:szCs w:val="44"/>
              </w:rPr>
              <w:t>研究人员基本情况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  <w:vAlign w:val="center"/>
          </w:tcPr>
          <w:p>
            <w:pPr>
              <w:wordWrap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  <w:t>姓  名</w:t>
            </w:r>
          </w:p>
        </w:tc>
        <w:tc>
          <w:tcPr>
            <w:tcW w:w="1498" w:type="dxa"/>
            <w:vAlign w:val="center"/>
          </w:tcPr>
          <w:p>
            <w:pPr>
              <w:wordWrap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>
            <w:pPr>
              <w:wordWrap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>
            <w:pPr>
              <w:wordWrap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vAlign w:val="center"/>
          </w:tcPr>
          <w:p>
            <w:pPr>
              <w:wordWrap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49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1686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  <w:tc>
          <w:tcPr>
            <w:tcW w:w="2238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wordWrap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snapToGrid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1498" w:type="dxa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1544" w:type="dxa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1686" w:type="dxa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2238" w:type="dxa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</w:tr>
    </w:tbl>
    <w:p>
      <w:pPr>
        <w:wordWrap w:val="0"/>
        <w:spacing w:line="560" w:lineRule="exact"/>
        <w:ind w:firstLine="640" w:firstLineChars="200"/>
        <w:rPr>
          <w:rFonts w:ascii="Times New Roman" w:hAnsi="Times New Roman" w:eastAsia="黑体" w:cs="Times New Roman"/>
          <w:snapToGrid w:val="0"/>
          <w:sz w:val="32"/>
          <w:szCs w:val="44"/>
        </w:rPr>
      </w:pPr>
      <w:r>
        <w:rPr>
          <w:rFonts w:ascii="Times New Roman" w:hAnsi="Times New Roman" w:eastAsia="黑体" w:cs="Times New Roman"/>
          <w:snapToGrid w:val="0"/>
          <w:sz w:val="32"/>
          <w:szCs w:val="44"/>
        </w:rPr>
        <w:t>四、</w:t>
      </w:r>
      <w:r>
        <w:rPr>
          <w:rFonts w:hint="eastAsia" w:ascii="Times New Roman" w:hAnsi="Times New Roman" w:eastAsia="黑体" w:cs="Times New Roman"/>
          <w:snapToGrid w:val="0"/>
          <w:sz w:val="32"/>
          <w:szCs w:val="44"/>
          <w:lang w:eastAsia="zh-CN"/>
        </w:rPr>
        <w:t>项目</w:t>
      </w:r>
      <w:r>
        <w:rPr>
          <w:rFonts w:ascii="Times New Roman" w:hAnsi="Times New Roman" w:eastAsia="黑体" w:cs="Times New Roman"/>
          <w:snapToGrid w:val="0"/>
          <w:sz w:val="32"/>
          <w:szCs w:val="44"/>
        </w:rPr>
        <w:t>人员基本情况</w:t>
      </w:r>
    </w:p>
    <w:p>
      <w:pPr>
        <w:wordWrap w:val="0"/>
        <w:spacing w:line="500" w:lineRule="exact"/>
        <w:ind w:left="1039" w:leftChars="265" w:hanging="483" w:hangingChars="151"/>
        <w:rPr>
          <w:rFonts w:ascii="Times New Roman" w:hAnsi="Times New Roman" w:eastAsia="黑体" w:cs="Times New Roman"/>
          <w:snapToGrid w:val="0"/>
          <w:sz w:val="32"/>
          <w:szCs w:val="44"/>
        </w:rPr>
      </w:pPr>
    </w:p>
    <w:p>
      <w:pPr>
        <w:spacing w:line="560" w:lineRule="exact"/>
        <w:ind w:firstLine="640"/>
        <w:rPr>
          <w:rFonts w:eastAsia="黑体"/>
          <w:sz w:val="32"/>
        </w:rPr>
        <w:sectPr>
          <w:pgSz w:w="11906" w:h="16838"/>
          <w:pgMar w:top="2098" w:right="1474" w:bottom="1984" w:left="1587" w:header="850" w:footer="1531" w:gutter="0"/>
          <w:pgNumType w:fmt="decimal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黑体" w:cs="Times New Roman"/>
          <w:snapToGrid w:val="0"/>
          <w:sz w:val="32"/>
          <w:szCs w:val="44"/>
        </w:rPr>
      </w:pPr>
      <w:r>
        <w:rPr>
          <w:rFonts w:ascii="Times New Roman" w:hAnsi="Times New Roman" w:eastAsia="黑体" w:cs="Times New Roman"/>
          <w:snapToGrid w:val="0"/>
          <w:sz w:val="32"/>
          <w:szCs w:val="44"/>
        </w:rPr>
        <w:t>五、经费预算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079"/>
        <w:gridCol w:w="1374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05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黑体" w:cs="Times New Roman"/>
                <w:snapToGrid w:val="0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8"/>
                <w:szCs w:val="44"/>
              </w:rPr>
              <w:t>序号</w:t>
            </w:r>
          </w:p>
        </w:tc>
        <w:tc>
          <w:tcPr>
            <w:tcW w:w="3079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黑体" w:cs="Times New Roman"/>
                <w:snapToGrid w:val="0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8"/>
                <w:szCs w:val="44"/>
              </w:rPr>
              <w:t>经费开支科目</w:t>
            </w:r>
          </w:p>
        </w:tc>
        <w:tc>
          <w:tcPr>
            <w:tcW w:w="1374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黑体" w:cs="Times New Roman"/>
                <w:snapToGrid w:val="0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8"/>
                <w:szCs w:val="44"/>
              </w:rPr>
              <w:t>预算金额（万元）</w:t>
            </w:r>
          </w:p>
        </w:tc>
        <w:tc>
          <w:tcPr>
            <w:tcW w:w="3264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黑体" w:cs="Times New Roman"/>
                <w:snapToGrid w:val="0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napToGrid w:val="0"/>
                <w:sz w:val="28"/>
                <w:szCs w:val="44"/>
              </w:rPr>
              <w:t>说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  <w:t>1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326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  <w:t>2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326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  <w:t>3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  <w:t>会议费/差旅费/</w:t>
            </w:r>
          </w:p>
          <w:p>
            <w:pPr>
              <w:widowControl/>
              <w:wordWrap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  <w:highlight w:val="yellow"/>
              </w:rPr>
            </w:pPr>
          </w:p>
        </w:tc>
        <w:tc>
          <w:tcPr>
            <w:tcW w:w="326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  <w:t>4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37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326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  <w:t>5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326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  <w:t>6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326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  <w:t>7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326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  <w:t>8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326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5" w:type="dxa"/>
            <w:vAlign w:val="center"/>
          </w:tcPr>
          <w:p>
            <w:pPr>
              <w:wordWrap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  <w:t>9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8"/>
                <w:szCs w:val="24"/>
              </w:rPr>
              <w:t>合  计</w:t>
            </w:r>
          </w:p>
        </w:tc>
        <w:tc>
          <w:tcPr>
            <w:tcW w:w="137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  <w:tc>
          <w:tcPr>
            <w:tcW w:w="3264" w:type="dxa"/>
            <w:vAlign w:val="center"/>
          </w:tcPr>
          <w:p>
            <w:pPr>
              <w:wordWrap w:val="0"/>
              <w:adjustRightIn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44"/>
              </w:rPr>
            </w:pPr>
          </w:p>
        </w:tc>
      </w:tr>
    </w:tbl>
    <w:p>
      <w:pPr>
        <w:widowControl w:val="0"/>
        <w:wordWrap w:val="0"/>
        <w:spacing w:line="560" w:lineRule="exact"/>
        <w:ind w:firstLine="560" w:firstLineChars="200"/>
        <w:jc w:val="both"/>
        <w:rPr>
          <w:rFonts w:ascii="Times New Roman" w:hAnsi="Times New Roman" w:eastAsia="楷体" w:cs="Times New Roman"/>
          <w:snapToGrid w:val="0"/>
          <w:color w:val="auto"/>
          <w:kern w:val="2"/>
          <w:sz w:val="28"/>
          <w:szCs w:val="21"/>
          <w:highlight w:val="yellow"/>
          <w:lang w:val="en-US" w:eastAsia="zh-CN" w:bidi="ar-SA"/>
        </w:rPr>
      </w:pPr>
      <w:r>
        <w:rPr>
          <w:rFonts w:ascii="Times New Roman" w:hAnsi="Times New Roman" w:eastAsia="楷体" w:cs="Times New Roman"/>
          <w:snapToGrid w:val="0"/>
          <w:sz w:val="28"/>
          <w:szCs w:val="21"/>
        </w:rPr>
        <w:t>说明：</w:t>
      </w:r>
      <w:r>
        <w:rPr>
          <w:rFonts w:hint="eastAsia" w:ascii="Times New Roman" w:hAnsi="Times New Roman" w:eastAsia="楷体" w:cs="Times New Roman"/>
          <w:snapToGrid w:val="0"/>
          <w:spacing w:val="-6"/>
          <w:sz w:val="28"/>
          <w:szCs w:val="21"/>
          <w:lang w:eastAsia="zh-CN"/>
        </w:rPr>
        <w:t>项目</w:t>
      </w:r>
      <w:r>
        <w:rPr>
          <w:rFonts w:ascii="Times New Roman" w:hAnsi="Times New Roman" w:eastAsia="楷体" w:cs="Times New Roman"/>
          <w:snapToGrid w:val="0"/>
          <w:spacing w:val="-6"/>
          <w:sz w:val="28"/>
          <w:szCs w:val="21"/>
        </w:rPr>
        <w:t>研究经费预算总额不</w:t>
      </w:r>
      <w:r>
        <w:rPr>
          <w:rFonts w:hint="eastAsia" w:ascii="Times New Roman" w:hAnsi="Times New Roman" w:eastAsia="楷体" w:cs="Times New Roman"/>
          <w:snapToGrid w:val="0"/>
          <w:spacing w:val="-6"/>
          <w:sz w:val="28"/>
          <w:szCs w:val="21"/>
        </w:rPr>
        <w:t>得</w:t>
      </w:r>
      <w:r>
        <w:rPr>
          <w:rFonts w:ascii="Times New Roman" w:hAnsi="Times New Roman" w:eastAsia="楷体" w:cs="Times New Roman"/>
          <w:snapToGrid w:val="0"/>
          <w:spacing w:val="-6"/>
          <w:sz w:val="28"/>
          <w:szCs w:val="21"/>
        </w:rPr>
        <w:t>超过</w:t>
      </w:r>
      <w:r>
        <w:rPr>
          <w:rFonts w:hint="eastAsia" w:ascii="Times New Roman" w:hAnsi="Times New Roman" w:eastAsia="楷体" w:cs="Times New Roman"/>
          <w:snapToGrid w:val="0"/>
          <w:spacing w:val="-6"/>
          <w:sz w:val="28"/>
          <w:szCs w:val="21"/>
          <w:lang w:eastAsia="zh-CN"/>
        </w:rPr>
        <w:t>项目</w:t>
      </w:r>
      <w:r>
        <w:rPr>
          <w:rFonts w:hint="eastAsia" w:ascii="Times New Roman" w:hAnsi="Times New Roman" w:eastAsia="楷体" w:cs="Times New Roman"/>
          <w:snapToGrid w:val="0"/>
          <w:spacing w:val="-6"/>
          <w:sz w:val="28"/>
          <w:szCs w:val="21"/>
        </w:rPr>
        <w:t>研究方案中相关</w:t>
      </w:r>
      <w:r>
        <w:rPr>
          <w:rFonts w:hint="eastAsia" w:ascii="Times New Roman" w:hAnsi="Times New Roman" w:eastAsia="楷体" w:cs="Times New Roman"/>
          <w:snapToGrid w:val="0"/>
          <w:spacing w:val="-6"/>
          <w:sz w:val="28"/>
          <w:szCs w:val="21"/>
          <w:lang w:eastAsia="zh-CN"/>
        </w:rPr>
        <w:t>项目</w:t>
      </w:r>
      <w:r>
        <w:rPr>
          <w:rFonts w:hint="eastAsia" w:ascii="Times New Roman" w:hAnsi="Times New Roman" w:eastAsia="楷体" w:cs="Times New Roman"/>
          <w:snapToGrid w:val="0"/>
          <w:spacing w:val="-6"/>
          <w:sz w:val="28"/>
          <w:szCs w:val="21"/>
        </w:rPr>
        <w:t>的研究经费。经费开支科目应据实填写，可增减</w:t>
      </w:r>
      <w:r>
        <w:rPr>
          <w:rFonts w:ascii="Times New Roman" w:hAnsi="Times New Roman" w:eastAsia="楷体" w:cs="Times New Roman"/>
          <w:snapToGrid w:val="0"/>
          <w:spacing w:val="-6"/>
          <w:sz w:val="28"/>
          <w:szCs w:val="21"/>
        </w:rPr>
        <w:t>。</w:t>
      </w: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spacing w:line="400" w:lineRule="exact"/>
        <w:ind w:firstLine="210" w:firstLineChars="100"/>
      </w:pPr>
    </w:p>
    <w:p>
      <w:pPr>
        <w:pStyle w:val="8"/>
        <w:jc w:val="both"/>
        <w:rPr>
          <w:rFonts w:hint="default"/>
          <w:color w:val="auto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YjI1MGY4NzdlOTY5OWRhOWZmOTE5NGY3M2Q4MDEifQ=="/>
  </w:docVars>
  <w:rsids>
    <w:rsidRoot w:val="00000000"/>
    <w:rsid w:val="06345E06"/>
    <w:rsid w:val="11145D16"/>
    <w:rsid w:val="14A81E98"/>
    <w:rsid w:val="17FFCD4E"/>
    <w:rsid w:val="18495740"/>
    <w:rsid w:val="23BC326A"/>
    <w:rsid w:val="3C302B16"/>
    <w:rsid w:val="3DB42DAD"/>
    <w:rsid w:val="3EDF259D"/>
    <w:rsid w:val="4567C283"/>
    <w:rsid w:val="4BFA24B0"/>
    <w:rsid w:val="5338146B"/>
    <w:rsid w:val="57B9E73A"/>
    <w:rsid w:val="5BB60E64"/>
    <w:rsid w:val="5BF7B345"/>
    <w:rsid w:val="631F19F3"/>
    <w:rsid w:val="63E321F2"/>
    <w:rsid w:val="659F6CBF"/>
    <w:rsid w:val="756F1EB4"/>
    <w:rsid w:val="75FFF4F6"/>
    <w:rsid w:val="77177BC3"/>
    <w:rsid w:val="7DCD6159"/>
    <w:rsid w:val="7FB96AAA"/>
    <w:rsid w:val="7FEF4F9A"/>
    <w:rsid w:val="7FF30057"/>
    <w:rsid w:val="957FE4E1"/>
    <w:rsid w:val="9F7F3954"/>
    <w:rsid w:val="AEFFCC20"/>
    <w:rsid w:val="AF6B4D6C"/>
    <w:rsid w:val="B6F35D8F"/>
    <w:rsid w:val="BBBE4B8A"/>
    <w:rsid w:val="BEBBEE1C"/>
    <w:rsid w:val="BFBF1B4C"/>
    <w:rsid w:val="CCDF5278"/>
    <w:rsid w:val="D1FF9E66"/>
    <w:rsid w:val="DBBF8B9B"/>
    <w:rsid w:val="DDD5CCE7"/>
    <w:rsid w:val="DFF7D540"/>
    <w:rsid w:val="EEBC799E"/>
    <w:rsid w:val="EEFBF54B"/>
    <w:rsid w:val="F17F49C3"/>
    <w:rsid w:val="F67942CA"/>
    <w:rsid w:val="F77B4278"/>
    <w:rsid w:val="FADD4B71"/>
    <w:rsid w:val="FBFE80E4"/>
    <w:rsid w:val="FCBF1CE3"/>
    <w:rsid w:val="FD7F6395"/>
    <w:rsid w:val="FEEFB370"/>
    <w:rsid w:val="FF6F137C"/>
    <w:rsid w:val="FFFF3261"/>
    <w:rsid w:val="FF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pPr>
      <w:suppressAutoHyphens/>
    </w:pPr>
    <w:rPr>
      <w:rFonts w:ascii="微软雅黑" w:eastAsia="微软雅黑" w:cs="宋体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宋体"/>
    </w:rPr>
  </w:style>
  <w:style w:type="paragraph" w:styleId="5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napToGrid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widowControl/>
      <w:spacing w:before="240" w:after="60" w:line="579" w:lineRule="exact"/>
      <w:jc w:val="center"/>
      <w:outlineLvl w:val="0"/>
    </w:pPr>
    <w:rPr>
      <w:rFonts w:ascii="等线 Light" w:hAnsi="等线 Light" w:eastAsia="等线 Light"/>
      <w:b/>
      <w:bCs/>
      <w:snapToGrid w:val="0"/>
      <w:kern w:val="0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5085</Words>
  <Characters>5317</Characters>
  <Lines>0</Lines>
  <Paragraphs>0</Paragraphs>
  <TotalTime>11</TotalTime>
  <ScaleCrop>false</ScaleCrop>
  <LinksUpToDate>false</LinksUpToDate>
  <CharactersWithSpaces>5412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2026-03-17T20:21:00Z</dcterms:created>
  <dc:creator>EDY</dc:creator>
  <cp:lastModifiedBy>陈彦金</cp:lastModifiedBy>
  <cp:lastPrinted>2026-06-11T06:14:00Z</cp:lastPrinted>
  <dcterms:modified xsi:type="dcterms:W3CDTF">2026-06-10T06:54:00Z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eyJoZGlkIjoiYTBmMGFiMjdjM2NkZDYzMDc1NjU5NDFhOWRmYjNhODAiLCJ1c2VySWQiOiI0Mjk5MjU2NTEifQ==</vt:lpwstr>
  </property>
  <property fmtid="{D5CDD505-2E9C-101B-9397-08002B2CF9AE}" pid="4" name="ICV">
    <vt:lpwstr>12196AC84F5FA24D01F5286A55503C83_43</vt:lpwstr>
  </property>
</Properties>
</file>